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rlito" w:hAnsi="Carlito"/>
          <w:color w:val="000000"/>
        </w:rPr>
      </w:pPr>
      <w:r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 xml:space="preserve">Syllabus – Compétences langagières pratiques 1 </w:t>
      </w:r>
    </w:p>
    <w:p>
      <w:pPr>
        <w:pStyle w:val="Normal"/>
        <w:spacing w:lineRule="auto" w:line="276"/>
        <w:jc w:val="center"/>
        <w:rPr>
          <w:rFonts w:ascii="Carlito" w:hAnsi="Carlito"/>
          <w:color w:val="000000"/>
        </w:rPr>
      </w:pPr>
      <w:r>
        <w:rPr>
          <w:rFonts w:ascii="Carlito" w:hAnsi="Carlito"/>
          <w:b/>
          <w:bCs/>
          <w:color w:val="000000"/>
          <w:sz w:val="24"/>
          <w:szCs w:val="24"/>
          <w:lang w:val="fr-FR"/>
        </w:rPr>
        <w:t xml:space="preserve"> </w:t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072"/>
      </w:tblGrid>
      <w:tr>
        <w:trPr/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Carlito" w:hAnsi="Carlito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DESCRIPTION ET OBJECTIFS :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i w:val="false"/>
                <w:iCs w:val="false"/>
                <w:sz w:val="24"/>
                <w:lang w:val="fr-FR" w:eastAsia="zh-CN" w:bidi="hi-IN"/>
              </w:rPr>
              <w:t xml:space="preserve">Lors de ce cours, les 4 compétences du CECRL seront mobilisées, avec un accent mis sur </w:t>
            </w:r>
            <w:r>
              <w:rPr>
                <w:rFonts w:ascii="Carlito" w:hAnsi="Carlito"/>
                <w:b w:val="false"/>
                <w:bCs w:val="false"/>
                <w:i w:val="false"/>
                <w:iCs w:val="false"/>
                <w:sz w:val="24"/>
                <w:u w:val="none"/>
                <w:lang w:val="fr-FR" w:eastAsia="zh-CN" w:bidi="hi-IN"/>
              </w:rPr>
              <w:t>l’expression orale et écrite. D</w:t>
            </w:r>
            <w:r>
              <w:rPr>
                <w:rFonts w:ascii="Carlito" w:hAnsi="Carlito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es activités variées seront proposées aux étudiants en relation avec l’art au sens large, la littérature, et la langue française.</w:t>
            </w:r>
          </w:p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i w:val="false"/>
                <w:iCs w:val="false"/>
                <w:lang w:val="fr-FR" w:eastAsia="zh-CN" w:bidi="hi-IN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 xml:space="preserve">Exemples d’objectifs : </w:t>
            </w:r>
          </w:p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- Débattre sur des sujets d’actualité en relation avec l’art, la littérature, et la langue française</w:t>
            </w:r>
          </w:p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- Maîtriser la grammaire à un niveau avancé</w:t>
            </w:r>
          </w:p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b w:val="false"/>
                <w:bCs w:val="false"/>
                <w:i w:val="false"/>
                <w:iCs w:val="false"/>
                <w:sz w:val="24"/>
                <w:lang w:val="fr-FR" w:eastAsia="zh-CN" w:bidi="hi-IN"/>
              </w:rPr>
              <w:t>- Élargir son répertoire lexical (registre soutenu, expressions idiomatiques, etc.)</w:t>
            </w:r>
          </w:p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lang w:val="fr-FR" w:eastAsia="zh-CN" w:bidi="hi-IN"/>
              </w:rPr>
            </w:pPr>
            <w:r>
              <w:rPr>
                <w:rFonts w:ascii="Carlito" w:hAnsi="Carlito"/>
                <w:i w:val="false"/>
                <w:iCs w:val="false"/>
                <w:lang w:val="fr-FR" w:eastAsia="zh-CN" w:bidi="hi-IN"/>
              </w:rPr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Programme détaillé : </w:t>
            </w:r>
          </w:p>
          <w:tbl>
            <w:tblPr>
              <w:tblW w:w="8909" w:type="dxa"/>
              <w:jc w:val="left"/>
              <w:tblInd w:w="53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963"/>
              <w:gridCol w:w="3741"/>
              <w:gridCol w:w="4205"/>
            </w:tblGrid>
            <w:tr>
              <w:trPr/>
              <w:tc>
                <w:tcPr>
                  <w:tcW w:w="9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Séance n°</w:t>
                  </w:r>
                </w:p>
              </w:tc>
              <w:tc>
                <w:tcPr>
                  <w:tcW w:w="37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Thèmes</w:t>
                  </w:r>
                </w:p>
              </w:tc>
              <w:tc>
                <w:tcPr>
                  <w:tcW w:w="42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 xml:space="preserve">Compétences 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1 -3</w:t>
                  </w:r>
                </w:p>
              </w:tc>
              <w:tc>
                <w:tcPr>
                  <w:tcW w:w="374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 xml:space="preserve">L’artisanat </w:t>
                  </w:r>
                </w:p>
              </w:tc>
              <w:tc>
                <w:tcPr>
                  <w:tcW w:w="420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jc w:val="both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Parler d’artisanat, le vocabulaire pour exprimer les capacités et  compétences ; le participe présent et l’adjectif verbal ; exprimer la continuité, l’interruption et la progression d’une action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4 et 5</w:t>
                  </w:r>
                </w:p>
              </w:tc>
              <w:tc>
                <w:tcPr>
                  <w:tcW w:w="374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 xml:space="preserve">Les peintures scandaleuses du XIXe siècle </w:t>
                  </w:r>
                </w:p>
              </w:tc>
              <w:tc>
                <w:tcPr>
                  <w:tcW w:w="420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jc w:val="both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Parler d’art ; décrire une œuvre, analyser une œuvre ; la comparaison par les adjectifs ; les expressions familières pour commenter une œuvre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6 et 7</w:t>
                  </w:r>
                </w:p>
              </w:tc>
              <w:tc>
                <w:tcPr>
                  <w:tcW w:w="374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 xml:space="preserve">Faits divers et littérature </w:t>
                  </w:r>
                </w:p>
              </w:tc>
              <w:tc>
                <w:tcPr>
                  <w:tcW w:w="420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jc w:val="both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Parler de faits divers ; vocabulaire des crimes et de la justice </w:t>
                  </w:r>
                </w:p>
                <w:p>
                  <w:pPr>
                    <w:pStyle w:val="Contenudetableau"/>
                    <w:widowControl w:val="false"/>
                    <w:jc w:val="both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Film « Chanson douce »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8</w:t>
                  </w:r>
                </w:p>
              </w:tc>
              <w:tc>
                <w:tcPr>
                  <w:tcW w:w="374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 xml:space="preserve">Les difficultés de la langue française </w:t>
                  </w:r>
                </w:p>
              </w:tc>
              <w:tc>
                <w:tcPr>
                  <w:tcW w:w="420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jc w:val="both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Parler des difficultés de la langue française ; vocabulaire pour parler des étapes et des obstacles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9</w:t>
                  </w:r>
                </w:p>
              </w:tc>
              <w:tc>
                <w:tcPr>
                  <w:tcW w:w="374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La beauté du passé simple</w:t>
                  </w:r>
                </w:p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</w:r>
                </w:p>
              </w:tc>
              <w:tc>
                <w:tcPr>
                  <w:tcW w:w="420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jc w:val="both"/>
                    <w:rPr>
                      <w:rFonts w:ascii="Carlito" w:hAnsi="Carlito"/>
                      <w:strike w:val="false"/>
                      <w:dstrike w:val="false"/>
                      <w:lang w:val="fr-FR"/>
                    </w:rPr>
                  </w:pPr>
                  <w:r>
                    <w:rPr>
                      <w:rFonts w:ascii="Carlito" w:hAnsi="Carlito"/>
                      <w:strike w:val="false"/>
                      <w:dstrike w:val="false"/>
                      <w:lang w:val="fr-FR" w:eastAsia="zh-CN" w:bidi="hi-IN"/>
                    </w:rPr>
                    <w:t>Le passé simple ; la mise en relief ; argumenter, structurer un discours ; les mots du débat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10</w:t>
                  </w:r>
                </w:p>
              </w:tc>
              <w:tc>
                <w:tcPr>
                  <w:tcW w:w="794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 xml:space="preserve">Absente 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11</w:t>
                  </w:r>
                </w:p>
              </w:tc>
              <w:tc>
                <w:tcPr>
                  <w:tcW w:w="7946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i w:val="false"/>
                      <w:i w:val="false"/>
                      <w:iCs w:val="false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i w:val="false"/>
                      <w:iCs w:val="false"/>
                      <w:lang w:val="fr-FR" w:eastAsia="zh-CN" w:bidi="hi-IN"/>
                    </w:rPr>
                    <w:t xml:space="preserve">Entraînement à l’examen oral 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12</w:t>
                  </w:r>
                </w:p>
              </w:tc>
              <w:tc>
                <w:tcPr>
                  <w:tcW w:w="7946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i/>
                      <w:i/>
                      <w:iCs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i/>
                      <w:iCs/>
                      <w:lang w:val="fr-FR" w:eastAsia="zh-CN" w:bidi="hi-IN"/>
                    </w:rPr>
                    <w:t xml:space="preserve">Examen écrit </w:t>
                  </w:r>
                </w:p>
              </w:tc>
            </w:tr>
            <w:tr>
              <w:trPr/>
              <w:tc>
                <w:tcPr>
                  <w:tcW w:w="96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lang w:val="fr-FR" w:eastAsia="zh-CN" w:bidi="hi-IN"/>
                    </w:rPr>
                    <w:t>13</w:t>
                  </w:r>
                </w:p>
              </w:tc>
              <w:tc>
                <w:tcPr>
                  <w:tcW w:w="7946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Contenudetableau"/>
                    <w:widowControl w:val="false"/>
                    <w:rPr>
                      <w:rFonts w:ascii="Carlito" w:hAnsi="Carlito"/>
                      <w:i/>
                      <w:i/>
                      <w:iCs/>
                      <w:lang w:val="fr-FR" w:eastAsia="zh-CN" w:bidi="hi-IN"/>
                    </w:rPr>
                  </w:pPr>
                  <w:r>
                    <w:rPr>
                      <w:rFonts w:ascii="Carlito" w:hAnsi="Carlito"/>
                      <w:i/>
                      <w:iCs/>
                      <w:lang w:val="fr-FR" w:eastAsia="zh-CN" w:bidi="hi-IN"/>
                    </w:rPr>
                    <w:t xml:space="preserve">Examen oral 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/>
              <w:jc w:val="both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Onormal"/>
              <w:widowControl w:val="false"/>
              <w:tabs>
                <w:tab w:val="clear" w:pos="720"/>
                <w:tab w:val="left" w:pos="-720" w:leader="none"/>
              </w:tabs>
              <w:jc w:val="both"/>
              <w:rPr>
                <w:rFonts w:ascii="Carlito" w:hAnsi="Carlito" w:eastAsia="Times New Roman" w:cs="Arial"/>
                <w:b/>
                <w:b/>
                <w:bCs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/>
                <w:bCs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MODALITÉS D’EXAMEN :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rlito" w:hAnsi="Carlito"/>
                <w:i w:val="false"/>
                <w:i w:val="false"/>
                <w:iCs w:val="false"/>
                <w:sz w:val="24"/>
                <w:lang w:val="fr-FR" w:eastAsia="zh-CN" w:bidi="hi-IN"/>
              </w:rPr>
            </w:pPr>
            <w:r>
              <w:rPr>
                <w:rFonts w:ascii="Carlito" w:hAnsi="Carlito"/>
                <w:b/>
                <w:bCs/>
                <w:i w:val="false"/>
                <w:iCs w:val="false"/>
                <w:color w:val="000000"/>
                <w:sz w:val="24"/>
                <w:lang w:val="fr-FR" w:eastAsia="zh-CN" w:bidi="hi-IN"/>
              </w:rPr>
              <w:t>- Examen écrit</w:t>
            </w:r>
            <w:r>
              <w:rPr>
                <w:rFonts w:ascii="Carlito" w:hAnsi="Carlito"/>
                <w:i w:val="false"/>
                <w:iCs w:val="false"/>
                <w:color w:val="000000"/>
                <w:sz w:val="24"/>
                <w:lang w:val="fr-FR" w:eastAsia="zh-CN" w:bidi="hi-IN"/>
              </w:rPr>
              <w:t xml:space="preserve"> (50%) : Test de vocabulaire et de grammaire 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Style w:val="Predvolenpsmoodseku"/>
                <w:rFonts w:eastAsia="Times New Roman" w:cs="Arial" w:ascii="Carlito" w:hAnsi="Carlito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- Examen oral </w:t>
            </w:r>
            <w:r>
              <w:rPr>
                <w:rStyle w:val="Predvolenpsmoodseku"/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(50%)</w:t>
            </w:r>
            <w:r>
              <w:rPr>
                <w:rStyle w:val="Predvolenpsmoodseku"/>
                <w:rFonts w:eastAsia="Times New Roman" w:cs="Arial" w:ascii="Carlito" w:hAnsi="Carlito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 </w:t>
            </w:r>
            <w:r>
              <w:rPr>
                <w:rStyle w:val="Predvolenpsmoodseku"/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: Présenter son opinion dans un exposé structuré à partir d’un document déclencheur (10 min dont 3 min de questions).</w:t>
            </w:r>
          </w:p>
          <w:p>
            <w:pPr>
              <w:pStyle w:val="Normal"/>
              <w:widowControl w:val="false"/>
              <w:jc w:val="both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r>
          </w:p>
          <w:p>
            <w:pPr>
              <w:pStyle w:val="Normal"/>
              <w:widowControl w:val="false"/>
              <w:jc w:val="left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Style w:val="Predvolenpsmoodseku"/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>Barème de notation : A: 100-90 %; B: 89-80 %; C: 79-70 %; D: 69-60 %; E: 59-50 %.</w:t>
            </w:r>
          </w:p>
          <w:p>
            <w:pPr>
              <w:pStyle w:val="Normal"/>
              <w:widowControl w:val="false"/>
              <w:jc w:val="left"/>
              <w:rPr>
                <w:rStyle w:val="Predvolenpsmoodseku"/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Carlito" w:hAnsi="Carlito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CONDITIONS SUPPLÉMENTAIRES POUR VALIDER LE SEMESTRE :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O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En cas d’absence, les étudiant(e)s doivent prévenir l’enseignante par mail </w:t>
            </w: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single"/>
                <w:lang w:val="fr-FR" w:eastAsia="zh-CN" w:bidi="hi-IN"/>
              </w:rPr>
              <w:t>avant la séance</w:t>
            </w: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lang w:val="fr-FR" w:eastAsia="zh-CN" w:bidi="hi-IN"/>
              </w:rPr>
              <w:t xml:space="preserve">. Les absences doivent être justifiées. Des absences répétées et non-justifiées entraîneront un résultat négatif à l’examen.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left"/>
              <w:rPr>
                <w:rFonts w:ascii="Carlito" w:hAnsi="Carlito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CONTACT : 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left"/>
              <w:rPr/>
            </w:pPr>
            <w:r>
              <w:rPr>
                <w:rStyle w:val="LienInternet"/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Cours dispens</w:t>
            </w:r>
            <w:r>
              <w:rPr>
                <w:rStyle w:val="LienInternet"/>
                <w:rFonts w:eastAsia="Courier New" w:cs="Courier New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é par </w:t>
            </w:r>
            <w:r>
              <w:rPr>
                <w:rStyle w:val="LienInternet"/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 xml:space="preserve">Mgr. Estelle Kosnansky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left"/>
              <w:rPr/>
            </w:pPr>
            <w:r>
              <w:rPr>
                <w:rStyle w:val="LienInternet"/>
                <w:rFonts w:eastAsia="Times New Roman" w:cs="Arial" w:ascii="Carlito" w:hAnsi="Carlito"/>
                <w:b/>
                <w:bCs/>
                <w:i w:val="false"/>
                <w:iCs w:val="false"/>
                <w:color w:val="000081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estelle.kosnansky@unipo.sk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Carlito" w:hAnsi="Carlito" w:eastAsia="Times New Roman" w:cs="Arial"/>
                <w:b/>
                <w:b/>
                <w:bCs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/>
                <w:bCs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MODALITÉS D’ENSEIGNEMENT :</w:t>
            </w:r>
          </w:p>
        </w:tc>
      </w:tr>
      <w:tr>
        <w:trPr/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720" w:leader="none"/>
              </w:tabs>
              <w:spacing w:lineRule="auto" w:line="240"/>
              <w:jc w:val="both"/>
              <w:rPr>
                <w:rFonts w:ascii="Carlito" w:hAnsi="Carlito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</w:pPr>
            <w:r>
              <w:rPr>
                <w:rFonts w:eastAsia="Times New Roman" w:cs="Arial" w:ascii="Carlito" w:hAnsi="Carlito"/>
                <w:b w:val="false"/>
                <w:bCs w:val="false"/>
                <w:i w:val="false"/>
                <w:iCs w:val="false"/>
                <w:color w:val="000000"/>
                <w:spacing w:val="-3"/>
                <w:kern w:val="0"/>
                <w:sz w:val="24"/>
                <w:szCs w:val="24"/>
                <w:u w:val="none"/>
                <w:lang w:val="fr-FR" w:eastAsia="zh-CN" w:bidi="hi-IN"/>
              </w:rPr>
              <w:t>Les cours auront lieu en présentiel ou en ligne en fonction de l’évolution de la situation sanitaire.</w:t>
            </w:r>
          </w:p>
        </w:tc>
      </w:tr>
    </w:tbl>
    <w:p>
      <w:pPr>
        <w:pStyle w:val="LOnormal"/>
        <w:spacing w:lineRule="auto" w:line="276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jc w:val="left"/>
        <w:rPr>
          <w:rFonts w:ascii="Carlito" w:hAnsi="Carlito" w:eastAsia="Times New Roman" w:cs="Arial"/>
          <w:b/>
          <w:b/>
          <w:bCs/>
          <w:i w:val="false"/>
          <w:i w:val="false"/>
          <w:i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>
          <w:rFonts w:eastAsia="Times New Roman" w:cs="Arial" w:ascii="Carlito" w:hAnsi="Carlito"/>
          <w:b/>
          <w:bCs/>
          <w:i w:val="false"/>
          <w:iCs w:val="false"/>
          <w:color w:val="000000"/>
          <w:spacing w:val="-3"/>
          <w:kern w:val="0"/>
          <w:sz w:val="24"/>
          <w:szCs w:val="24"/>
          <w:lang w:val="fr-FR" w:eastAsia="zh-CN" w:bidi="hi-IN"/>
        </w:rPr>
      </w:r>
    </w:p>
    <w:p>
      <w:pPr>
        <w:pStyle w:val="Normal"/>
        <w:jc w:val="both"/>
        <w:rPr>
          <w:b w:val="false"/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Carlito" w:hAnsi="Carlito" w:eastAsia="Times New Roman" w:cs="Arial"/>
          <w:b w:val="false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>
          <w:rFonts w:eastAsia="Times New Roman" w:cs="Arial" w:ascii="Carlito" w:hAnsi="Carlito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r>
    </w:p>
    <w:p>
      <w:pPr>
        <w:pStyle w:val="LOnormal"/>
        <w:tabs>
          <w:tab w:val="clear" w:pos="720"/>
          <w:tab w:val="left" w:pos="-720" w:leader="none"/>
        </w:tabs>
        <w:jc w:val="both"/>
        <w:rPr>
          <w:rFonts w:ascii="Carlito" w:hAnsi="Carlito" w:eastAsia="Times New Roman" w:cs="Arial"/>
          <w:b w:val="false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>
          <w:rFonts w:eastAsia="Times New Roman" w:cs="Arial" w:ascii="Carlito" w:hAnsi="Carlito"/>
          <w:b w:val="false"/>
          <w:bCs w:val="false"/>
          <w:color w:val="000000"/>
          <w:spacing w:val="-3"/>
          <w:kern w:val="0"/>
          <w:sz w:val="24"/>
          <w:szCs w:val="24"/>
          <w:lang w:val="fr-FR" w:eastAsia="zh-CN" w:bidi="hi-IN"/>
        </w:rPr>
      </w:r>
    </w:p>
    <w:p>
      <w:pPr>
        <w:pStyle w:val="LOnormal"/>
        <w:tabs>
          <w:tab w:val="clear" w:pos="720"/>
          <w:tab w:val="left" w:pos="-720" w:leader="none"/>
        </w:tabs>
        <w:spacing w:before="57" w:after="57"/>
        <w:jc w:val="both"/>
        <w:rPr>
          <w:rStyle w:val="Predvolenpsmoodseku"/>
          <w:rFonts w:ascii="Carlito" w:hAnsi="Carlito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spacing w:val="-3"/>
          <w:kern w:val="0"/>
          <w:sz w:val="24"/>
          <w:szCs w:val="24"/>
          <w:lang w:val="fr-FR" w:eastAsia="zh-CN" w:bidi="hi-IN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Carlito">
    <w:altName w:val="Calibri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lang w:val="sk-SK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1">
    <w:name w:val="Heading 1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re2">
    <w:name w:val="Heading 2"/>
    <w:basedOn w:val="LOnormal"/>
    <w:next w:val="LOnormal"/>
    <w:qFormat/>
    <w:pPr>
      <w:keepNext w:val="true"/>
      <w:spacing w:lineRule="auto" w:line="360"/>
      <w:jc w:val="center"/>
    </w:pPr>
    <w:rPr>
      <w:sz w:val="24"/>
      <w:szCs w:val="24"/>
    </w:rPr>
  </w:style>
  <w:style w:type="paragraph" w:styleId="Titre3">
    <w:name w:val="Heading 3"/>
    <w:basedOn w:val="LOnormal"/>
    <w:next w:val="LOnormal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re4">
    <w:name w:val="Heading 4"/>
    <w:basedOn w:val="LOnormal"/>
    <w:next w:val="LOnormal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re5">
    <w:name w:val="Heading 5"/>
    <w:basedOn w:val="LOnormal"/>
    <w:next w:val="LOnormal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re6">
    <w:name w:val="Heading 6"/>
    <w:basedOn w:val="LOnormal"/>
    <w:next w:val="LOnormal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Predvolenpsmoodseku">
    <w:name w:val="Predvolené písmo odseku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auto"/>
      <w:kern w:val="0"/>
      <w:sz w:val="20"/>
      <w:szCs w:val="20"/>
      <w:lang w:val="sk-SK" w:eastAsia="zh-CN" w:bidi="hi-IN"/>
    </w:rPr>
  </w:style>
  <w:style w:type="paragraph" w:styleId="Titreprincipal">
    <w:name w:val="Title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ustitre">
    <w:name w:val="Subtitle"/>
    <w:basedOn w:val="LOnormal"/>
    <w:next w:val="LO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361</TotalTime>
  <Application>LibreOffice/7.2.5.2$Windows_X86_64 LibreOffice_project/499f9727c189e6ef3471021d6132d4c694f357e5</Application>
  <AppVersion>15.0000</AppVersion>
  <Pages>2</Pages>
  <Words>361</Words>
  <Characters>1900</Characters>
  <CharactersWithSpaces>2237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2023-09-20T07:56:46Z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